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CB5B2B" w:rsidRDefault="0052234B" w:rsidP="00640E82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</w:rPr>
      </w:pPr>
      <w:r w:rsidRPr="00CB5B2B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</w:t>
      </w:r>
      <w:bookmarkStart w:id="0" w:name="_GoBack"/>
      <w:bookmarkEnd w:id="0"/>
      <w:r w:rsidRPr="00CB5B2B">
        <w:rPr>
          <w:rFonts w:ascii="Garamond" w:eastAsia="Times New Roman" w:hAnsi="Garamond" w:cs="Times New Roman"/>
          <w:b/>
          <w:sz w:val="26"/>
          <w:szCs w:val="26"/>
        </w:rPr>
        <w:t>Załącznik nr 2</w:t>
      </w:r>
    </w:p>
    <w:p w:rsidR="00CB5B2B" w:rsidRDefault="00CB5B2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CB5B2B" w:rsidRDefault="00CB5B2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Pr="00CB5B2B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CB5B2B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CB5B2B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CB5B2B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CB5B2B">
        <w:rPr>
          <w:rFonts w:ascii="Garamond" w:hAnsi="Garamond" w:cs="Times New Roman"/>
          <w:sz w:val="24"/>
          <w:szCs w:val="24"/>
        </w:rPr>
        <w:tab/>
      </w:r>
    </w:p>
    <w:p w:rsidR="0052234B" w:rsidRPr="00CB5B2B" w:rsidRDefault="0052234B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B5B2B" w:rsidRDefault="00CB5B2B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CB5B2B">
        <w:rPr>
          <w:rFonts w:ascii="Garamond" w:hAnsi="Garamond" w:cs="Times New Roman"/>
          <w:sz w:val="26"/>
          <w:szCs w:val="26"/>
        </w:rPr>
        <w:t>Dzierżawa 2 ciemnych włókien światłowodowych</w:t>
      </w:r>
      <w:r w:rsidR="006D79F0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6D79F0">
        <w:rPr>
          <w:rFonts w:ascii="Garamond" w:hAnsi="Garamond" w:cs="Times New Roman"/>
          <w:sz w:val="26"/>
          <w:szCs w:val="26"/>
        </w:rPr>
        <w:t>jednomodowych</w:t>
      </w:r>
      <w:proofErr w:type="spellEnd"/>
      <w:r w:rsidRPr="00CB5B2B">
        <w:rPr>
          <w:rFonts w:ascii="Garamond" w:hAnsi="Garamond" w:cs="Times New Roman"/>
          <w:sz w:val="26"/>
          <w:szCs w:val="26"/>
        </w:rPr>
        <w:t xml:space="preserve"> w relacji </w:t>
      </w:r>
      <w:r w:rsidR="006D79F0">
        <w:rPr>
          <w:rFonts w:ascii="Garamond" w:hAnsi="Garamond" w:cs="Times New Roman"/>
          <w:sz w:val="26"/>
          <w:szCs w:val="26"/>
        </w:rPr>
        <w:br/>
      </w:r>
      <w:r w:rsidRPr="00CB5B2B">
        <w:rPr>
          <w:rFonts w:ascii="Garamond" w:hAnsi="Garamond" w:cs="Times New Roman"/>
          <w:sz w:val="26"/>
          <w:szCs w:val="26"/>
        </w:rPr>
        <w:t>Pl. Słowiański 25, Zielona Góra – Pl. Słowiański 12, Zielona Góra</w:t>
      </w:r>
      <w:r>
        <w:rPr>
          <w:rFonts w:ascii="Garamond" w:hAnsi="Garamond" w:cs="Times New Roman"/>
          <w:sz w:val="26"/>
          <w:szCs w:val="26"/>
        </w:rPr>
        <w:t>.</w:t>
      </w:r>
    </w:p>
    <w:p w:rsidR="006D79F0" w:rsidRPr="00CB5B2B" w:rsidRDefault="006D79F0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Złącza powinny być zakończone końcówkami SC/APC lub SC/PC</w:t>
      </w:r>
    </w:p>
    <w:p w:rsidR="0052234B" w:rsidRPr="00CB5B2B" w:rsidRDefault="0052234B" w:rsidP="009834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B230F1" w:rsidRPr="00CB5B2B" w:rsidRDefault="00B230F1" w:rsidP="00662EE6">
      <w:pPr>
        <w:spacing w:before="60" w:after="60" w:line="280" w:lineRule="auto"/>
        <w:rPr>
          <w:rFonts w:ascii="Garamond" w:eastAsia="Calibri" w:hAnsi="Garamond" w:cs="Calibri"/>
          <w:b/>
        </w:rPr>
      </w:pPr>
    </w:p>
    <w:sectPr w:rsidR="00B230F1" w:rsidRPr="00CB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52234B"/>
    <w:rsid w:val="00640E82"/>
    <w:rsid w:val="00662EE6"/>
    <w:rsid w:val="006D79F0"/>
    <w:rsid w:val="00734D0F"/>
    <w:rsid w:val="00926CB8"/>
    <w:rsid w:val="00983452"/>
    <w:rsid w:val="00A861E0"/>
    <w:rsid w:val="00B230F1"/>
    <w:rsid w:val="00CB5B2B"/>
    <w:rsid w:val="00DA07FF"/>
    <w:rsid w:val="00F8158A"/>
    <w:rsid w:val="00FA5D33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6AD3-22EF-4BD5-A985-8A6960F9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2</cp:revision>
  <dcterms:created xsi:type="dcterms:W3CDTF">2017-04-05T08:58:00Z</dcterms:created>
  <dcterms:modified xsi:type="dcterms:W3CDTF">2017-04-05T08:58:00Z</dcterms:modified>
</cp:coreProperties>
</file>